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E9723" w14:textId="49FB9EC6" w:rsidR="0017157E" w:rsidRPr="007F5466" w:rsidRDefault="0017157E" w:rsidP="0017157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112-e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E76609">
        <w:rPr>
          <w:rFonts w:ascii="Arial" w:hAnsi="Arial" w:cs="Arial"/>
          <w:b/>
          <w:i/>
          <w:sz w:val="28"/>
          <w:szCs w:val="22"/>
        </w:rPr>
        <w:t>2338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709900BD" w14:textId="77777777" w:rsidR="0017157E" w:rsidRPr="007F5466" w:rsidRDefault="0017157E" w:rsidP="0017157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17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- 28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May 2021</w:t>
      </w:r>
    </w:p>
    <w:p w14:paraId="38BE497F" w14:textId="3FAD8B1A" w:rsidR="0017157E" w:rsidRPr="007F5466" w:rsidRDefault="0017157E" w:rsidP="0017157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8.1</w:t>
      </w:r>
    </w:p>
    <w:p w14:paraId="77166A45" w14:textId="5E45308F" w:rsidR="0017157E" w:rsidRPr="007F5466" w:rsidRDefault="0017157E" w:rsidP="0017157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31F7D0CE" w14:textId="6299C52D" w:rsidR="0017157E" w:rsidRPr="007F5466" w:rsidRDefault="0017157E" w:rsidP="0017157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Discussion on the RAN2 LS on E-CID LTE measurement in Rel-15</w:t>
      </w:r>
    </w:p>
    <w:p w14:paraId="0B122C81" w14:textId="402E297D" w:rsidR="0017157E" w:rsidRPr="007F5466" w:rsidRDefault="0017157E" w:rsidP="0017157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53421725" w14:textId="77777777" w:rsidR="0017157E" w:rsidRPr="007F5466" w:rsidRDefault="0017157E" w:rsidP="0017157E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00D102BE" w14:textId="43502722" w:rsidR="0017157E" w:rsidRPr="00771987" w:rsidRDefault="0017157E" w:rsidP="0017157E">
      <w:pPr>
        <w:jc w:val="both"/>
        <w:rPr>
          <w:rFonts w:eastAsia="Malgun Gothic"/>
          <w:sz w:val="18"/>
          <w:szCs w:val="18"/>
          <w:lang w:eastAsia="ko-KR"/>
        </w:rPr>
      </w:pPr>
      <w:r w:rsidRPr="00771987">
        <w:rPr>
          <w:rFonts w:eastAsia="Malgun Gothic"/>
          <w:lang w:eastAsia="ko-KR"/>
        </w:rPr>
        <w:t>RAN3 has received a liaison statement from RAN2 in [1], asking whether gNB can report E-UTRA measurement to the LMF for</w:t>
      </w:r>
      <w:r w:rsidR="00833707" w:rsidRPr="00771987">
        <w:rPr>
          <w:rFonts w:eastAsia="Malgun Gothic"/>
          <w:lang w:eastAsia="ko-KR"/>
        </w:rPr>
        <w:t xml:space="preserve"> </w:t>
      </w:r>
      <w:r w:rsidRPr="00771987">
        <w:rPr>
          <w:rFonts w:eastAsia="Malgun Gothic"/>
          <w:lang w:eastAsia="ko-KR"/>
        </w:rPr>
        <w:t>E-CID positioning in Rel-15. This discussion paper provides our view on the question raised by RAN2 and a proposition for the reply LS.</w:t>
      </w:r>
    </w:p>
    <w:p w14:paraId="6D62EC31" w14:textId="1D21A229" w:rsidR="0017157E" w:rsidRPr="007F5466" w:rsidRDefault="0017157E" w:rsidP="0017157E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val="en-GB"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>Discussion</w:t>
      </w:r>
      <w:r w:rsidR="007F5466" w:rsidRPr="007F5466">
        <w:rPr>
          <w:rFonts w:eastAsia="SimSun"/>
          <w:sz w:val="36"/>
          <w:lang w:eastAsia="zh-CN"/>
        </w:rPr>
        <w:t xml:space="preserve"> and background</w:t>
      </w:r>
    </w:p>
    <w:p w14:paraId="6B25CA9E" w14:textId="68675D21" w:rsidR="00742D3E" w:rsidRPr="00591ABB" w:rsidRDefault="00BC7490" w:rsidP="0017157E">
      <w:r w:rsidRPr="00591ABB">
        <w:rPr>
          <w:rFonts w:eastAsia="Malgun Gothic"/>
          <w:lang w:eastAsia="ko-KR"/>
        </w:rPr>
        <w:t>The answer to RAN2’s question lies in the Release-15 version of the NRPPa specification [2]</w:t>
      </w:r>
      <w:r w:rsidR="00D61F4C" w:rsidRPr="00591ABB">
        <w:rPr>
          <w:rFonts w:eastAsia="Malgun Gothic"/>
          <w:lang w:eastAsia="ko-KR"/>
        </w:rPr>
        <w:t xml:space="preserve">. In the </w:t>
      </w:r>
      <w:r w:rsidR="004A0E75" w:rsidRPr="00591ABB">
        <w:rPr>
          <w:rFonts w:eastAsia="Malgun Gothic"/>
          <w:lang w:eastAsia="ko-KR"/>
        </w:rPr>
        <w:t>E-CID related procedures</w:t>
      </w:r>
      <w:r w:rsidR="00C76CA3" w:rsidRPr="00591ABB">
        <w:rPr>
          <w:rFonts w:eastAsia="Malgun Gothic"/>
          <w:lang w:eastAsia="ko-KR"/>
        </w:rPr>
        <w:t xml:space="preserve"> such as the</w:t>
      </w:r>
      <w:r w:rsidR="004A0E75" w:rsidRPr="00591ABB">
        <w:rPr>
          <w:rFonts w:eastAsia="Malgun Gothic"/>
          <w:lang w:eastAsia="ko-KR"/>
        </w:rPr>
        <w:t xml:space="preserve"> </w:t>
      </w:r>
      <w:r w:rsidR="00D61F4C" w:rsidRPr="00591ABB">
        <w:t xml:space="preserve">E-CID MEASUREMENT INITIATION REQUEST message, the LMF can ask the NG-RAN node to provide the cell ID </w:t>
      </w:r>
      <w:r w:rsidR="003A0F63" w:rsidRPr="00591ABB">
        <w:t>and</w:t>
      </w:r>
      <w:r w:rsidR="00D61F4C" w:rsidRPr="00591ABB">
        <w:t xml:space="preserve"> E-UTRA measurements, if available, such as </w:t>
      </w:r>
      <w:r w:rsidR="00CC455F" w:rsidRPr="00591ABB">
        <w:t xml:space="preserve">the </w:t>
      </w:r>
      <w:r w:rsidR="00D61F4C" w:rsidRPr="00591ABB">
        <w:t xml:space="preserve">E-UTRA Angle of arrival, Timing advances and the </w:t>
      </w:r>
      <w:r w:rsidR="003A0F63" w:rsidRPr="00591ABB">
        <w:t xml:space="preserve">E-UTRA </w:t>
      </w:r>
      <w:r w:rsidR="00D61F4C" w:rsidRPr="00591ABB">
        <w:t>RSRP</w:t>
      </w:r>
      <w:r w:rsidR="003A0F63" w:rsidRPr="00591ABB">
        <w:t xml:space="preserve"> &amp; </w:t>
      </w:r>
      <w:r w:rsidR="00D61F4C" w:rsidRPr="00591ABB">
        <w:t xml:space="preserve">RSRQ measurements. </w:t>
      </w:r>
      <w:r w:rsidR="00FD14AF" w:rsidRPr="00591ABB">
        <w:t>The details of these measurements can be found</w:t>
      </w:r>
      <w:r w:rsidR="003A0F63" w:rsidRPr="00591ABB">
        <w:t xml:space="preserve"> in the </w:t>
      </w:r>
      <w:r w:rsidR="003A0F63" w:rsidRPr="00591ABB">
        <w:rPr>
          <w:i/>
          <w:iCs/>
        </w:rPr>
        <w:t>E-CID Measurement Result</w:t>
      </w:r>
      <w:r w:rsidR="003A0F63" w:rsidRPr="00591ABB">
        <w:t xml:space="preserve"> IE in section 9.2.5</w:t>
      </w:r>
      <w:r w:rsidR="007F5466" w:rsidRPr="00591ABB">
        <w:t xml:space="preserve"> of [2]</w:t>
      </w:r>
      <w:r w:rsidR="003A0F63" w:rsidRPr="00591ABB">
        <w:t>. One can observe that the</w:t>
      </w:r>
      <w:r w:rsidR="007F5466" w:rsidRPr="00591ABB">
        <w:t xml:space="preserve"> NG-RAN node can report its access node position and that the </w:t>
      </w:r>
      <w:r w:rsidR="003A0F63" w:rsidRPr="00591ABB">
        <w:t xml:space="preserve">LMF </w:t>
      </w:r>
      <w:r w:rsidR="007F5466" w:rsidRPr="00591ABB">
        <w:t>can further</w:t>
      </w:r>
      <w:r w:rsidR="003A0F63" w:rsidRPr="00591ABB">
        <w:t xml:space="preserve"> ask for other RAT</w:t>
      </w:r>
      <w:r w:rsidR="00591ABB">
        <w:t>s</w:t>
      </w:r>
      <w:r w:rsidR="003A0F63" w:rsidRPr="00591ABB">
        <w:t xml:space="preserve"> (GERAN, UTRAN) and WLAN measurements. </w:t>
      </w:r>
    </w:p>
    <w:p w14:paraId="28CD7DFE" w14:textId="5184F9E1" w:rsidR="001D37C9" w:rsidRPr="007F5466" w:rsidRDefault="001D37C9" w:rsidP="0017157E">
      <w:pPr>
        <w:rPr>
          <w:b/>
          <w:bCs/>
        </w:rPr>
      </w:pPr>
      <w:r w:rsidRPr="007F5466">
        <w:rPr>
          <w:b/>
          <w:bCs/>
        </w:rPr>
        <w:t xml:space="preserve">Observation 1 : In release 15 NRPPa, LMF </w:t>
      </w:r>
      <w:r w:rsidR="00BF0C79" w:rsidRPr="007F5466">
        <w:rPr>
          <w:b/>
          <w:bCs/>
        </w:rPr>
        <w:t>c</w:t>
      </w:r>
      <w:r w:rsidRPr="007F5466">
        <w:rPr>
          <w:b/>
          <w:bCs/>
        </w:rPr>
        <w:t>an get E-UTRA related measurements form the NG-RAN</w:t>
      </w:r>
      <w:r w:rsidR="00FD14AF" w:rsidRPr="007F5466">
        <w:rPr>
          <w:b/>
          <w:bCs/>
        </w:rPr>
        <w:t xml:space="preserve"> node.</w:t>
      </w:r>
    </w:p>
    <w:p w14:paraId="755ADE2E" w14:textId="77777777" w:rsidR="00992C77" w:rsidRDefault="001D37C9" w:rsidP="0017157E">
      <w:r w:rsidRPr="007F5466">
        <w:t xml:space="preserve">However, it must be noted that the NG-RAN node </w:t>
      </w:r>
      <w:r w:rsidR="00FD14AF" w:rsidRPr="007F5466">
        <w:t xml:space="preserve">mentioned hereabove </w:t>
      </w:r>
      <w:r w:rsidRPr="007F5466">
        <w:t>means ng-eNB and not gNB</w:t>
      </w:r>
      <w:r w:rsidR="00FD14AF" w:rsidRPr="007F5466">
        <w:t>.</w:t>
      </w:r>
      <w:r w:rsidRPr="007F5466">
        <w:t xml:space="preserve"> </w:t>
      </w:r>
    </w:p>
    <w:p w14:paraId="68740885" w14:textId="18C9C593" w:rsidR="001D37C9" w:rsidRPr="007F5466" w:rsidRDefault="00FD14AF" w:rsidP="0017157E">
      <w:r w:rsidRPr="007F5466">
        <w:t>I</w:t>
      </w:r>
      <w:r w:rsidR="001D37C9" w:rsidRPr="007F5466">
        <w:t>n Release 15</w:t>
      </w:r>
      <w:r w:rsidRPr="007F5466">
        <w:t>,</w:t>
      </w:r>
      <w:r w:rsidR="001D37C9" w:rsidRPr="007F5466">
        <w:t xml:space="preserve"> gNB was still being specified</w:t>
      </w:r>
      <w:r w:rsidRPr="007F5466">
        <w:t xml:space="preserve"> with the CU-DU split</w:t>
      </w:r>
      <w:r w:rsidR="00992C77">
        <w:t xml:space="preserve">. </w:t>
      </w:r>
      <w:r w:rsidR="001D37C9" w:rsidRPr="007F5466">
        <w:t xml:space="preserve">NRPPa </w:t>
      </w:r>
      <w:r w:rsidR="00992C77">
        <w:t xml:space="preserve">meanwhile </w:t>
      </w:r>
      <w:r w:rsidR="001D37C9" w:rsidRPr="007F5466">
        <w:t xml:space="preserve">was ported directly from LPPa specification [3], </w:t>
      </w:r>
      <w:r w:rsidR="00BF0C79" w:rsidRPr="007F5466">
        <w:t>taking</w:t>
      </w:r>
      <w:r w:rsidRPr="007F5466">
        <w:t xml:space="preserve"> the </w:t>
      </w:r>
      <w:r w:rsidR="00992C77" w:rsidRPr="007F5466">
        <w:t>existing</w:t>
      </w:r>
      <w:r w:rsidR="00BF0C79" w:rsidRPr="007F5466">
        <w:t xml:space="preserve"> signalling between eNB and E-SMLC as baseline</w:t>
      </w:r>
      <w:r w:rsidR="00992C77">
        <w:t xml:space="preserve"> for the later-to-be-specified Rel-16 NR positioning. Therefore, in Rel-15</w:t>
      </w:r>
      <w:r w:rsidR="00312298">
        <w:t>,</w:t>
      </w:r>
      <w:r w:rsidR="00992C77">
        <w:t xml:space="preserve"> </w:t>
      </w:r>
      <w:r w:rsidR="001D37C9" w:rsidRPr="007F5466">
        <w:t xml:space="preserve">only E-UTRA cells </w:t>
      </w:r>
      <w:r w:rsidR="00992C77">
        <w:t>could be</w:t>
      </w:r>
      <w:r w:rsidR="001D37C9" w:rsidRPr="007F5466">
        <w:t xml:space="preserve"> considered</w:t>
      </w:r>
      <w:r w:rsidR="00992C77">
        <w:t>, and t</w:t>
      </w:r>
      <w:r w:rsidR="001D37C9" w:rsidRPr="007F5466">
        <w:t xml:space="preserve">he two positioning methods available </w:t>
      </w:r>
      <w:r w:rsidR="004E178B">
        <w:t>in</w:t>
      </w:r>
      <w:r w:rsidR="00BF0C79" w:rsidRPr="007F5466">
        <w:t xml:space="preserve"> NRPPa</w:t>
      </w:r>
      <w:r w:rsidR="001D37C9" w:rsidRPr="007F5466">
        <w:t xml:space="preserve"> are </w:t>
      </w:r>
      <w:r w:rsidR="00BF0C79" w:rsidRPr="007F5466">
        <w:t xml:space="preserve">the ones </w:t>
      </w:r>
      <w:r w:rsidR="004E178B">
        <w:t xml:space="preserve">that have been ported from LPPa </w:t>
      </w:r>
      <w:r w:rsidR="001D37C9" w:rsidRPr="007F5466">
        <w:t xml:space="preserve">based on E-UTRA measurements from </w:t>
      </w:r>
      <w:r w:rsidRPr="007F5466">
        <w:t>LTE</w:t>
      </w:r>
      <w:r w:rsidR="001D37C9" w:rsidRPr="007F5466">
        <w:t xml:space="preserve"> cells</w:t>
      </w:r>
      <w:r w:rsidR="00554988">
        <w:t>, which are</w:t>
      </w:r>
      <w:r w:rsidR="001D37C9" w:rsidRPr="007F5466">
        <w:t>: OTDOA and LTE E-CID</w:t>
      </w:r>
      <w:r w:rsidRPr="007F5466">
        <w:t>.</w:t>
      </w:r>
    </w:p>
    <w:p w14:paraId="718310AF" w14:textId="5718E276" w:rsidR="001D37C9" w:rsidRPr="007F5466" w:rsidRDefault="00FD14AF" w:rsidP="0017157E">
      <w:r w:rsidRPr="007F5466">
        <w:t>I</w:t>
      </w:r>
      <w:r w:rsidR="001D37C9" w:rsidRPr="007F5466">
        <w:t xml:space="preserve">f we </w:t>
      </w:r>
      <w:r w:rsidRPr="007F5466">
        <w:t xml:space="preserve">also </w:t>
      </w:r>
      <w:r w:rsidR="001D37C9" w:rsidRPr="007F5466">
        <w:t xml:space="preserve">consider the </w:t>
      </w:r>
      <w:r w:rsidR="00554988">
        <w:t xml:space="preserve">positioning </w:t>
      </w:r>
      <w:r w:rsidR="001D37C9" w:rsidRPr="007F5466">
        <w:t xml:space="preserve">architecture figure below, </w:t>
      </w:r>
      <w:r w:rsidR="00BF0C79" w:rsidRPr="007F5466">
        <w:t xml:space="preserve">one can observe that </w:t>
      </w:r>
      <w:r w:rsidR="001D37C9" w:rsidRPr="007F5466">
        <w:t xml:space="preserve">only the higher NG-RAN node block was considered, meaning that Rel-15 NRPPa only supports Option 5 architecture, i.e. ng-eNB </w:t>
      </w:r>
      <w:r w:rsidR="007F5466" w:rsidRPr="007F5466">
        <w:t>connected</w:t>
      </w:r>
      <w:r w:rsidR="001D37C9" w:rsidRPr="007F5466">
        <w:t xml:space="preserve"> to 5GC.</w:t>
      </w:r>
      <w:r w:rsidR="00BF0C79" w:rsidRPr="007F5466">
        <w:t xml:space="preserve"> The NRPPa support of </w:t>
      </w:r>
      <w:r w:rsidR="000160E8">
        <w:t xml:space="preserve">the </w:t>
      </w:r>
      <w:r w:rsidR="00BF0C79" w:rsidRPr="007F5466">
        <w:t>block below with gNB as NG-RAN node was later specified during Rel-16</w:t>
      </w:r>
      <w:r w:rsidR="00DF772C">
        <w:t xml:space="preserve"> with the NR positioning methods</w:t>
      </w:r>
      <w:r w:rsidR="00BF0C79" w:rsidRPr="007F5466">
        <w:t>.</w:t>
      </w:r>
    </w:p>
    <w:p w14:paraId="1AEEA7C4" w14:textId="77777777" w:rsidR="001D37C9" w:rsidRPr="007F5466" w:rsidRDefault="001D37C9" w:rsidP="0017157E"/>
    <w:p w14:paraId="5B676604" w14:textId="477CCF0C" w:rsidR="001D37C9" w:rsidRPr="007F5466" w:rsidRDefault="001D37C9" w:rsidP="001D37C9">
      <w:pPr>
        <w:jc w:val="center"/>
      </w:pPr>
      <w:r w:rsidRPr="007F5466">
        <w:rPr>
          <w:noProof/>
        </w:rPr>
        <w:lastRenderedPageBreak/>
        <w:drawing>
          <wp:inline distT="0" distB="0" distL="0" distR="0" wp14:anchorId="71C0991D" wp14:editId="52DC120B">
            <wp:extent cx="5205730" cy="2776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730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FD694" w14:textId="03263557" w:rsidR="001D37C9" w:rsidRPr="007F5466" w:rsidRDefault="001D37C9" w:rsidP="001D37C9">
      <w:pPr>
        <w:jc w:val="center"/>
      </w:pPr>
      <w:r w:rsidRPr="007F5466">
        <w:t xml:space="preserve">Figure 1 : </w:t>
      </w:r>
      <w:r w:rsidR="00037D52">
        <w:t>Overall P</w:t>
      </w:r>
      <w:r w:rsidRPr="007F5466">
        <w:t>ositioning architecture</w:t>
      </w:r>
      <w:r w:rsidR="00037D52">
        <w:t xml:space="preserve"> as defined in TS 38.305</w:t>
      </w:r>
      <w:r w:rsidRPr="007F5466">
        <w:t xml:space="preserve">. In </w:t>
      </w:r>
      <w:r w:rsidR="00037D52">
        <w:t>R</w:t>
      </w:r>
      <w:r w:rsidRPr="007F5466">
        <w:t>el-15 NRPPa, only the ng-eNB block was supported</w:t>
      </w:r>
    </w:p>
    <w:p w14:paraId="4F8817C4" w14:textId="33048AFA" w:rsidR="001D37C9" w:rsidRPr="007F5466" w:rsidRDefault="001D37C9" w:rsidP="001D37C9">
      <w:pPr>
        <w:jc w:val="center"/>
      </w:pPr>
    </w:p>
    <w:p w14:paraId="50546B51" w14:textId="025BB1EF" w:rsidR="001D37C9" w:rsidRPr="007F5466" w:rsidRDefault="001D37C9" w:rsidP="001D37C9">
      <w:pPr>
        <w:rPr>
          <w:b/>
          <w:bCs/>
        </w:rPr>
      </w:pPr>
      <w:r w:rsidRPr="007F5466">
        <w:rPr>
          <w:b/>
          <w:bCs/>
        </w:rPr>
        <w:t xml:space="preserve">Observation 2 : In Release-15, the NRPPa protocol only supports the exchange of the positioning information and measurements between the ng-eNB and the </w:t>
      </w:r>
      <w:r w:rsidR="00EF0833">
        <w:rPr>
          <w:b/>
          <w:bCs/>
        </w:rPr>
        <w:t>LMF</w:t>
      </w:r>
      <w:r w:rsidRPr="007F5466">
        <w:rPr>
          <w:b/>
          <w:bCs/>
        </w:rPr>
        <w:t>.</w:t>
      </w:r>
    </w:p>
    <w:p w14:paraId="339432D7" w14:textId="24AE2F22" w:rsidR="00BF0C79" w:rsidRPr="007F5466" w:rsidRDefault="00BF0C79" w:rsidP="001D37C9">
      <w:r w:rsidRPr="007F5466">
        <w:t>Based on the two observations above, it is proposed to reply to RAN2 with the following:</w:t>
      </w:r>
    </w:p>
    <w:p w14:paraId="6E1A034D" w14:textId="60270219" w:rsidR="00BF0C79" w:rsidRPr="007F5466" w:rsidRDefault="00BF0C79" w:rsidP="001D37C9">
      <w:pPr>
        <w:rPr>
          <w:i/>
          <w:iCs/>
        </w:rPr>
      </w:pPr>
      <w:r w:rsidRPr="007F5466">
        <w:rPr>
          <w:i/>
          <w:iCs/>
        </w:rPr>
        <w:t xml:space="preserve">“RAN3 thanks RAN2 for their LS on Release-15 UL E-CID and would like to inform RAN2 that in Release-15 </w:t>
      </w:r>
      <w:r w:rsidR="00EF0833" w:rsidRPr="007F5466">
        <w:rPr>
          <w:i/>
          <w:iCs/>
        </w:rPr>
        <w:t>specification</w:t>
      </w:r>
      <w:r w:rsidRPr="007F5466">
        <w:rPr>
          <w:i/>
          <w:iCs/>
        </w:rPr>
        <w:t xml:space="preserve">, NRPPa </w:t>
      </w:r>
      <w:r w:rsidRPr="00EF0833">
        <w:rPr>
          <w:i/>
          <w:iCs/>
          <w:u w:val="single"/>
        </w:rPr>
        <w:t>only</w:t>
      </w:r>
      <w:r w:rsidRPr="007F5466">
        <w:rPr>
          <w:i/>
          <w:iCs/>
        </w:rPr>
        <w:t xml:space="preserve"> supports the exchange of E-UTRA positioning information and measurements between an ng-eNB node and LMF. This includes E-UTRA measurements</w:t>
      </w:r>
      <w:r w:rsidR="00A1197C">
        <w:rPr>
          <w:i/>
          <w:iCs/>
        </w:rPr>
        <w:t xml:space="preserve"> from ng-eNB</w:t>
      </w:r>
      <w:r w:rsidRPr="007F5466">
        <w:rPr>
          <w:i/>
          <w:iCs/>
        </w:rPr>
        <w:t xml:space="preserve"> for E-CID positioning.”</w:t>
      </w:r>
    </w:p>
    <w:p w14:paraId="7543F871" w14:textId="7D2B7292" w:rsidR="00BF0C79" w:rsidRPr="007F5466" w:rsidRDefault="00BF0C79" w:rsidP="001D37C9">
      <w:r w:rsidRPr="007F5466">
        <w:t>A draft LS reply is provided in [</w:t>
      </w:r>
      <w:r w:rsidR="007F5466" w:rsidRPr="007F5466">
        <w:t>4</w:t>
      </w:r>
      <w:r w:rsidRPr="007F5466">
        <w:t>].</w:t>
      </w:r>
    </w:p>
    <w:p w14:paraId="60FDB836" w14:textId="567710F4" w:rsidR="00BF0C79" w:rsidRPr="007F5466" w:rsidRDefault="00BF0C79" w:rsidP="001D37C9">
      <w:pPr>
        <w:rPr>
          <w:b/>
          <w:bCs/>
        </w:rPr>
      </w:pPr>
      <w:r w:rsidRPr="007F5466">
        <w:rPr>
          <w:b/>
          <w:bCs/>
        </w:rPr>
        <w:t xml:space="preserve">Proposal 1 : Reply RAN2 with a clarification that in Rel-15 NRPPa, no gNB </w:t>
      </w:r>
      <w:r w:rsidR="00335846">
        <w:rPr>
          <w:b/>
          <w:bCs/>
        </w:rPr>
        <w:t>i</w:t>
      </w:r>
      <w:r w:rsidRPr="007F5466">
        <w:rPr>
          <w:b/>
          <w:bCs/>
        </w:rPr>
        <w:t>s in the scope</w:t>
      </w:r>
      <w:r w:rsidR="00335846">
        <w:rPr>
          <w:b/>
          <w:bCs/>
        </w:rPr>
        <w:t xml:space="preserve">; </w:t>
      </w:r>
      <w:r w:rsidRPr="007F5466">
        <w:rPr>
          <w:b/>
          <w:bCs/>
        </w:rPr>
        <w:t>NRPPa only supports exchange between ng-eNB and LMF.</w:t>
      </w:r>
    </w:p>
    <w:p w14:paraId="77B81E86" w14:textId="77777777" w:rsidR="00BF0C79" w:rsidRPr="007F5466" w:rsidRDefault="00BF0C79" w:rsidP="00BF0C79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Conclusion</w:t>
      </w:r>
    </w:p>
    <w:p w14:paraId="2BD2A507" w14:textId="73E96A97" w:rsidR="00BF0C79" w:rsidRPr="00771987" w:rsidRDefault="00BF0C79" w:rsidP="007F5466">
      <w:pPr>
        <w:jc w:val="both"/>
        <w:rPr>
          <w:lang w:eastAsia="zh-CN"/>
        </w:rPr>
      </w:pPr>
      <w:r w:rsidRPr="00771987">
        <w:rPr>
          <w:lang w:eastAsia="zh-CN"/>
        </w:rPr>
        <w:t xml:space="preserve">In this paper, we have discussed the </w:t>
      </w:r>
      <w:r w:rsidR="007F5466" w:rsidRPr="00771987">
        <w:rPr>
          <w:lang w:eastAsia="zh-CN"/>
        </w:rPr>
        <w:t>question raised by RAN2.</w:t>
      </w:r>
    </w:p>
    <w:p w14:paraId="587BED42" w14:textId="2C6CC833" w:rsidR="007F5466" w:rsidRPr="00771987" w:rsidRDefault="007F5466" w:rsidP="007F5466">
      <w:pPr>
        <w:rPr>
          <w:b/>
          <w:bCs/>
        </w:rPr>
      </w:pPr>
      <w:r w:rsidRPr="00771987">
        <w:rPr>
          <w:b/>
          <w:bCs/>
        </w:rPr>
        <w:t>Observation 1 : In Release 15 NRPPa, LMF can get E-UTRA related measurements form the NG-RAN node.</w:t>
      </w:r>
    </w:p>
    <w:p w14:paraId="2549D924" w14:textId="2D634EBD" w:rsidR="007F5466" w:rsidRPr="00771987" w:rsidRDefault="007F5466" w:rsidP="007F5466">
      <w:pPr>
        <w:rPr>
          <w:b/>
          <w:bCs/>
        </w:rPr>
      </w:pPr>
      <w:r w:rsidRPr="00771987">
        <w:rPr>
          <w:b/>
          <w:bCs/>
        </w:rPr>
        <w:t>Observation 2 : In Release-15, the NRPPa protocol only supports the exchange of the positioning information and measurements between the ng-eNB and the LMF.</w:t>
      </w:r>
    </w:p>
    <w:p w14:paraId="1D1BFD97" w14:textId="77777777" w:rsidR="007F5466" w:rsidRPr="00771987" w:rsidRDefault="007F5466" w:rsidP="007F5466">
      <w:pPr>
        <w:rPr>
          <w:b/>
          <w:bCs/>
        </w:rPr>
      </w:pPr>
      <w:r w:rsidRPr="00771987">
        <w:rPr>
          <w:b/>
          <w:bCs/>
        </w:rPr>
        <w:t>Proposal 1 : Reply RAN2 with a clarification that in Rel-15 NRPPa, no gNB is in the scope; NRPPa only supports exchange between ng-eNB and LMF.</w:t>
      </w:r>
    </w:p>
    <w:p w14:paraId="3AA17D0F" w14:textId="77777777" w:rsidR="00BF0C79" w:rsidRPr="007F5466" w:rsidRDefault="00BF0C79" w:rsidP="00BF0C79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Reference</w:t>
      </w:r>
    </w:p>
    <w:p w14:paraId="7A623593" w14:textId="01F1C27C" w:rsidR="00BF0C79" w:rsidRPr="007F5466" w:rsidRDefault="007F5466" w:rsidP="007F5466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Cs w:val="20"/>
          <w:lang w:eastAsia="zh-CN"/>
        </w:rPr>
      </w:pPr>
      <w:r w:rsidRPr="007F5466">
        <w:rPr>
          <w:rFonts w:ascii="Times New Roman" w:eastAsiaTheme="minorHAnsi" w:hAnsi="Times New Roman"/>
          <w:szCs w:val="20"/>
          <w:lang w:eastAsia="zh-CN"/>
        </w:rPr>
        <w:t>R2-2102128, LS on E-CID LTE measurement in Rel-15</w:t>
      </w:r>
    </w:p>
    <w:p w14:paraId="1467A212" w14:textId="7C22E7A2" w:rsidR="007F5466" w:rsidRPr="007F5466" w:rsidRDefault="007F5466" w:rsidP="007F5466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Cs w:val="20"/>
          <w:lang w:eastAsia="zh-CN"/>
        </w:rPr>
      </w:pPr>
      <w:r w:rsidRPr="007F5466">
        <w:rPr>
          <w:rFonts w:ascii="Times New Roman" w:eastAsiaTheme="minorHAnsi" w:hAnsi="Times New Roman"/>
          <w:szCs w:val="20"/>
          <w:lang w:eastAsia="zh-CN"/>
        </w:rPr>
        <w:t>TS 38.455, NRPPa protocol V15.3.0</w:t>
      </w:r>
    </w:p>
    <w:p w14:paraId="621D344D" w14:textId="68A2C1BA" w:rsidR="007F5466" w:rsidRPr="007F5466" w:rsidRDefault="007F5466" w:rsidP="007F5466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Cs w:val="20"/>
          <w:lang w:eastAsia="zh-CN"/>
        </w:rPr>
      </w:pPr>
      <w:r w:rsidRPr="007F5466">
        <w:rPr>
          <w:rFonts w:ascii="Times New Roman" w:eastAsiaTheme="minorHAnsi" w:hAnsi="Times New Roman"/>
          <w:szCs w:val="20"/>
          <w:lang w:eastAsia="zh-CN"/>
        </w:rPr>
        <w:t>TS 36.455, LPPa protocol V16.1.0</w:t>
      </w:r>
    </w:p>
    <w:p w14:paraId="09A85B24" w14:textId="1A48B906" w:rsidR="007F5466" w:rsidRPr="007F5466" w:rsidRDefault="007F5466" w:rsidP="007F5466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Cs w:val="20"/>
          <w:lang w:eastAsia="zh-CN"/>
        </w:rPr>
      </w:pPr>
      <w:r w:rsidRPr="007F5466">
        <w:rPr>
          <w:rFonts w:ascii="Times New Roman" w:eastAsiaTheme="minorHAnsi" w:hAnsi="Times New Roman"/>
          <w:szCs w:val="20"/>
          <w:lang w:eastAsia="zh-CN"/>
        </w:rPr>
        <w:t>R3-21</w:t>
      </w:r>
      <w:r w:rsidR="00E76609">
        <w:rPr>
          <w:rFonts w:ascii="Times New Roman" w:eastAsiaTheme="minorHAnsi" w:hAnsi="Times New Roman"/>
          <w:szCs w:val="20"/>
          <w:lang w:eastAsia="zh-CN"/>
        </w:rPr>
        <w:t>2339</w:t>
      </w:r>
      <w:r w:rsidRPr="007F5466">
        <w:rPr>
          <w:rFonts w:ascii="Times New Roman" w:eastAsiaTheme="minorHAnsi" w:hAnsi="Times New Roman"/>
          <w:szCs w:val="20"/>
          <w:lang w:eastAsia="zh-CN"/>
        </w:rPr>
        <w:t>, Reply LS on E-CID LTE measurement in Rel-15</w:t>
      </w:r>
    </w:p>
    <w:sectPr w:rsidR="007F5466" w:rsidRPr="007F54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1BC"/>
    <w:rsid w:val="000160E8"/>
    <w:rsid w:val="00037D52"/>
    <w:rsid w:val="0017157E"/>
    <w:rsid w:val="001D37C9"/>
    <w:rsid w:val="00312298"/>
    <w:rsid w:val="00335846"/>
    <w:rsid w:val="003A0F63"/>
    <w:rsid w:val="004A0E75"/>
    <w:rsid w:val="004E178B"/>
    <w:rsid w:val="00554988"/>
    <w:rsid w:val="00591ABB"/>
    <w:rsid w:val="00742D3E"/>
    <w:rsid w:val="00771987"/>
    <w:rsid w:val="007F5466"/>
    <w:rsid w:val="008265DB"/>
    <w:rsid w:val="00833707"/>
    <w:rsid w:val="00992C77"/>
    <w:rsid w:val="009C7442"/>
    <w:rsid w:val="00A1197C"/>
    <w:rsid w:val="00B50747"/>
    <w:rsid w:val="00BC7490"/>
    <w:rsid w:val="00BF0C79"/>
    <w:rsid w:val="00C76CA3"/>
    <w:rsid w:val="00CC455F"/>
    <w:rsid w:val="00D61F4C"/>
    <w:rsid w:val="00DA21BC"/>
    <w:rsid w:val="00DF772C"/>
    <w:rsid w:val="00E76609"/>
    <w:rsid w:val="00EF0833"/>
    <w:rsid w:val="00FD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345D"/>
  <w15:chartTrackingRefBased/>
  <w15:docId w15:val="{65A0200B-FC44-428A-A946-A4005B73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57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1715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1715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7157E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715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RCoverPage">
    <w:name w:val="CR Cover Page"/>
    <w:rsid w:val="0017157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17157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7157E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715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157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F0C79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D52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7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3FF05-3524-423E-8AA0-A08524E1ABD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959C4A-34A8-4C56-9BBC-67836A82A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39867-46A4-4855-9870-E91A055146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602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22</cp:revision>
  <dcterms:created xsi:type="dcterms:W3CDTF">2021-04-27T12:25:00Z</dcterms:created>
  <dcterms:modified xsi:type="dcterms:W3CDTF">2021-05-06T20:43:00Z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